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E5" w:rsidRDefault="00123FE5" w:rsidP="00123FE5">
      <w:pPr>
        <w:pStyle w:val="a3"/>
      </w:pPr>
      <w:r>
        <w:t>В соответствии с положением, утвержденным  решением Совета народных депутатов Мордовского муниципального округа Тамбовской области от 28.12.2023 №103  " Об  утверждении Положения о  муниципальном земельном контроле в границах Мордовского  муниципального округа Тамбовской области и индикаторов риска" меры стимулирования добросовестности не применяются.</w:t>
      </w:r>
    </w:p>
    <w:p w:rsidR="007C0E25" w:rsidRDefault="007C0E25">
      <w:bookmarkStart w:id="0" w:name="_GoBack"/>
      <w:bookmarkEnd w:id="0"/>
    </w:p>
    <w:sectPr w:rsidR="007C0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E5"/>
    <w:rsid w:val="00123FE5"/>
    <w:rsid w:val="007C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KDS</dc:creator>
  <cp:lastModifiedBy>KDS</cp:lastModifiedBy>
  <cp:revision>1</cp:revision>
  <dcterms:created xsi:type="dcterms:W3CDTF">2025-06-04T12:24:00Z</dcterms:created>
  <dcterms:modified xsi:type="dcterms:W3CDTF">2025-06-04T12:24:00Z</dcterms:modified>
</cp:coreProperties>
</file>